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2057400" cy="591346"/>
            <wp:effectExtent l="0" t="0" r="0" b="0"/>
            <wp:wrapNone/>
            <wp:docPr id="1" name="Picture 1" descr="Homepage - St Thomas's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page - St Thomas's Cent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591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32"/>
          <w:szCs w:val="32"/>
        </w:rPr>
        <w:t>LKS2 English Unit Plans – TAUGHT LITERACY SKILLS</w:t>
      </w: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b/>
          <w:sz w:val="32"/>
          <w:szCs w:val="32"/>
        </w:rPr>
        <w:t>AUTUMN 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1"/>
        <w:gridCol w:w="2029"/>
        <w:gridCol w:w="2027"/>
        <w:gridCol w:w="2026"/>
        <w:gridCol w:w="2024"/>
        <w:gridCol w:w="1624"/>
        <w:gridCol w:w="668"/>
        <w:gridCol w:w="2959"/>
      </w:tblGrid>
      <w:tr>
        <w:tc>
          <w:tcPr>
            <w:tcW w:w="2031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029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027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026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024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292" w:type="dxa"/>
            <w:gridSpan w:val="2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959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</w:tr>
      <w:tr>
        <w:trPr>
          <w:trHeight w:val="7344"/>
        </w:trPr>
        <w:tc>
          <w:tcPr>
            <w:tcW w:w="11761" w:type="dxa"/>
            <w:gridSpan w:val="6"/>
          </w:tcPr>
          <w:p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FICTION: Atmospheric Settings</w:t>
            </w:r>
          </w:p>
          <w:p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>
            <w:pPr>
              <w:ind w:right="40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Outcomes: 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describe a range of settings that create a range of atmospheres based on word choice and sentence structure.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explore strong descriptive phrases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compose simple and complex sentences of different lengths using conjunctions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explore, collect and use fronted adverbials and other sentence starters and identify how they affect the sentence.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use a range of conjunctions to link clauses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develop their ability to experiment with words to create powerful images and settings 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become familiar, explore and use higher level vocabulary in writing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explore and write noun phrases </w:t>
            </w:r>
            <w:proofErr w:type="spellStart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eg</w:t>
            </w:r>
            <w:proofErr w:type="spellEnd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 the vivid, </w:t>
            </w:r>
            <w:proofErr w:type="spellStart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technicolour</w:t>
            </w:r>
            <w:proofErr w:type="spellEnd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 rainbow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 xml:space="preserve">To use the term “adjective” appropriately and to understand the function of adjectives in sentences through: Identifying adjectives in shared reading; Discussing and defining what they have in common i.e. words which qualify nouns; Experimenting with deleting and substituting adjectives and noting the effects </w:t>
            </w:r>
            <w:proofErr w:type="gramStart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on  meaning</w:t>
            </w:r>
            <w:proofErr w:type="gramEnd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 xml:space="preserve">; Collecting and classifying adjectives, e.g. for </w:t>
            </w:r>
            <w:proofErr w:type="spellStart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colours</w:t>
            </w:r>
            <w:proofErr w:type="spellEnd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, sizes, moods; Experimenting with the impact of different adjectives through shared writing</w:t>
            </w:r>
          </w:p>
        </w:tc>
        <w:tc>
          <w:tcPr>
            <w:tcW w:w="3627" w:type="dxa"/>
            <w:gridSpan w:val="2"/>
          </w:tcPr>
          <w:p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POETRY: Performance and Shape Poetry</w:t>
            </w:r>
          </w:p>
          <w:p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>
            <w:pPr>
              <w:jc w:val="both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Outcomes:</w:t>
            </w:r>
          </w:p>
          <w:p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To read, respond to and write shape poems: calligrams/riddles/kennings.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lang w:val="en"/>
              </w:rPr>
            </w:pPr>
            <w:r>
              <w:rPr>
                <w:rFonts w:ascii="Comic Sans MS" w:hAnsi="Comic Sans MS" w:cs="Arial"/>
                <w:lang w:val="en"/>
              </w:rPr>
              <w:t>To explore strong descriptive phrases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develop their ability to experiment with words to create powerful images and settings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lang w:val="en"/>
              </w:rPr>
            </w:pPr>
            <w:r>
              <w:rPr>
                <w:rFonts w:ascii="Comic Sans MS" w:hAnsi="Comic Sans MS" w:cs="Arial"/>
                <w:lang w:val="en"/>
              </w:rPr>
              <w:t>To use noun phrases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>To use capitalisation for new lines in poetry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 w:themeColor="text1"/>
              </w:rPr>
            </w:pPr>
            <w:r>
              <w:rPr>
                <w:rFonts w:ascii="Comic Sans MS" w:hAnsi="Comic Sans MS" w:cs="Arial"/>
                <w:color w:val="000000" w:themeColor="text1"/>
              </w:rPr>
              <w:t>To explore poetic features of each kind of poetry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 w:themeColor="text1"/>
              </w:rPr>
            </w:pPr>
            <w:r>
              <w:rPr>
                <w:rFonts w:ascii="Comic Sans MS" w:hAnsi="Comic Sans MS" w:cs="Arial"/>
                <w:color w:val="000000" w:themeColor="text1"/>
              </w:rPr>
              <w:t>To hear and enjoy poems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 w:themeColor="text1"/>
              </w:rPr>
            </w:pPr>
            <w:r>
              <w:rPr>
                <w:rFonts w:ascii="Comic Sans MS" w:hAnsi="Comic Sans MS" w:cs="Arial"/>
                <w:color w:val="000000" w:themeColor="text1"/>
              </w:rPr>
              <w:t>To compare and contrast different poetic styles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 w:themeColor="text1"/>
              </w:rPr>
            </w:pPr>
            <w:r>
              <w:rPr>
                <w:rFonts w:ascii="Comic Sans MS" w:hAnsi="Comic Sans MS" w:cs="Arial"/>
                <w:color w:val="000000" w:themeColor="text1"/>
              </w:rPr>
              <w:t>To perform poetry with confidence, accuracy, pace, intonation and volume</w:t>
            </w:r>
          </w:p>
        </w:tc>
      </w:tr>
    </w:tbl>
    <w:p>
      <w:pPr>
        <w:rPr>
          <w:rFonts w:ascii="Comic Sans MS" w:hAnsi="Comic Sans MS"/>
          <w:b/>
        </w:rPr>
      </w:pPr>
    </w:p>
    <w:p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AUTUMN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1454"/>
        <w:gridCol w:w="744"/>
        <w:gridCol w:w="2198"/>
        <w:gridCol w:w="2199"/>
      </w:tblGrid>
      <w:tr>
        <w:tc>
          <w:tcPr>
            <w:tcW w:w="2198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198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198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199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198" w:type="dxa"/>
            <w:gridSpan w:val="2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198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199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</w:tr>
      <w:tr>
        <w:tc>
          <w:tcPr>
            <w:tcW w:w="10247" w:type="dxa"/>
            <w:gridSpan w:val="5"/>
            <w:shd w:val="clear" w:color="auto" w:fill="FFFFFF" w:themeFill="background1"/>
          </w:tcPr>
          <w:p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NON-FICTION – Non-Chronological Reports (information text)</w:t>
            </w: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Outcomes: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 w</w:t>
            </w:r>
            <w:r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 xml:space="preserve">rite a non-chronological report using notes made from texts read. 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understand technical language in a non-chronological report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research a topic using YouTube, non-fiction books and the internet to make notes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interview using questions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compare a variety of forms of questions from texts, e.g. asking for help, asking the time, asking someone to be quiet.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turn statements into questions, learning a range of “</w:t>
            </w:r>
            <w:proofErr w:type="spellStart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wh</w:t>
            </w:r>
            <w:proofErr w:type="spellEnd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” words, typically used to open questions: what, where, when, who, and to add question marks.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secure knowledge of question marks and exclamation marks in reading, understand their purpose and use appropriately in own writing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use precise language, commas for lists and presentational features such as headings, diagrams, bullet points etc.…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</w:rPr>
              <w:t>To use connectives in paragraphs (later, after)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use commas in a list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revise using a range of conjunctions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arrange and organise information under sub-headings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write an introduction using who, what, where and when</w:t>
            </w:r>
          </w:p>
          <w:p>
            <w:pPr>
              <w:rPr>
                <w:rFonts w:ascii="Comic Sans MS" w:hAnsi="Comic Sans MS"/>
                <w:b/>
              </w:rPr>
            </w:pPr>
          </w:p>
        </w:tc>
        <w:tc>
          <w:tcPr>
            <w:tcW w:w="5141" w:type="dxa"/>
            <w:gridSpan w:val="3"/>
            <w:shd w:val="clear" w:color="auto" w:fill="FFFFFF" w:themeFill="background1"/>
          </w:tcPr>
          <w:p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FICTION – Dialogue and Plays</w:t>
            </w: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ind w:right="404"/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</w:pPr>
            <w:proofErr w:type="gramStart"/>
            <w:r>
              <w:rPr>
                <w:rFonts w:ascii="Comic Sans MS" w:hAnsi="Comic Sans MS"/>
                <w:b/>
                <w:sz w:val="24"/>
                <w:szCs w:val="24"/>
              </w:rPr>
              <w:t>Outcomes:</w:t>
            </w:r>
            <w:r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To</w:t>
            </w:r>
            <w:proofErr w:type="gramEnd"/>
            <w:r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 xml:space="preserve"> write and perform play scripts based on familiar stories.</w:t>
            </w:r>
          </w:p>
          <w:p>
            <w:pPr>
              <w:pStyle w:val="ListParagraph"/>
              <w:numPr>
                <w:ilvl w:val="0"/>
                <w:numId w:val="19"/>
              </w:numPr>
              <w:ind w:left="275"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read a number of stories that have been changed into plays</w:t>
            </w:r>
          </w:p>
          <w:p>
            <w:pPr>
              <w:pStyle w:val="ListParagraph"/>
              <w:numPr>
                <w:ilvl w:val="0"/>
                <w:numId w:val="19"/>
              </w:numPr>
              <w:ind w:left="275"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identify key features of a play (scene, no speech, brackets)</w:t>
            </w:r>
          </w:p>
          <w:p>
            <w:pPr>
              <w:pStyle w:val="ListParagraph"/>
              <w:numPr>
                <w:ilvl w:val="0"/>
                <w:numId w:val="19"/>
              </w:numPr>
              <w:ind w:left="275"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perform a part using intonation, volume and emotion</w:t>
            </w:r>
          </w:p>
          <w:p>
            <w:pPr>
              <w:pStyle w:val="ListParagraph"/>
              <w:numPr>
                <w:ilvl w:val="0"/>
                <w:numId w:val="19"/>
              </w:numPr>
              <w:ind w:left="275"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learn a part</w:t>
            </w:r>
          </w:p>
          <w:p>
            <w:pPr>
              <w:pStyle w:val="ListParagraph"/>
              <w:numPr>
                <w:ilvl w:val="0"/>
                <w:numId w:val="19"/>
              </w:numPr>
              <w:ind w:left="275"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perform to an audience</w:t>
            </w:r>
          </w:p>
          <w:p>
            <w:pPr>
              <w:pStyle w:val="ListParagraph"/>
              <w:numPr>
                <w:ilvl w:val="0"/>
                <w:numId w:val="19"/>
              </w:numPr>
              <w:ind w:left="275"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write stage directions</w:t>
            </w:r>
          </w:p>
          <w:p>
            <w:pPr>
              <w:pStyle w:val="ListParagraph"/>
              <w:numPr>
                <w:ilvl w:val="0"/>
                <w:numId w:val="19"/>
              </w:numPr>
              <w:ind w:left="275"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convert a simple narrative to a play script</w:t>
            </w:r>
          </w:p>
          <w:p>
            <w:pPr>
              <w:ind w:right="404"/>
              <w:rPr>
                <w:rFonts w:ascii="Comic Sans MS" w:hAnsi="Comic Sans MS"/>
              </w:rPr>
            </w:pPr>
          </w:p>
          <w:p>
            <w:pPr>
              <w:rPr>
                <w:rFonts w:ascii="Comic Sans MS" w:hAnsi="Comic Sans MS" w:cs="Arial"/>
                <w:lang w:val="en"/>
              </w:rPr>
            </w:pPr>
          </w:p>
          <w:p>
            <w:pPr>
              <w:pStyle w:val="ListParagraph"/>
              <w:rPr>
                <w:rFonts w:ascii="Comic Sans MS" w:hAnsi="Comic Sans MS"/>
                <w:b/>
              </w:rPr>
            </w:pPr>
          </w:p>
        </w:tc>
      </w:tr>
    </w:tbl>
    <w:p>
      <w:pPr>
        <w:rPr>
          <w:rFonts w:ascii="Comic Sans MS" w:hAnsi="Comic Sans MS"/>
          <w:b/>
        </w:rPr>
      </w:pPr>
    </w:p>
    <w:p>
      <w:pPr>
        <w:rPr>
          <w:rFonts w:ascii="Comic Sans MS" w:hAnsi="Comic Sans MS"/>
          <w:b/>
        </w:rPr>
      </w:pPr>
    </w:p>
    <w:p>
      <w:pPr>
        <w:rPr>
          <w:rFonts w:ascii="Comic Sans MS" w:hAnsi="Comic Sans MS"/>
          <w:b/>
        </w:rPr>
      </w:pPr>
    </w:p>
    <w:p>
      <w:pPr>
        <w:rPr>
          <w:rFonts w:ascii="Comic Sans MS" w:hAnsi="Comic Sans MS"/>
          <w:b/>
        </w:rPr>
      </w:pPr>
    </w:p>
    <w:p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SPRING TERM 1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3403"/>
        <w:gridCol w:w="2899"/>
        <w:gridCol w:w="3077"/>
        <w:gridCol w:w="3237"/>
        <w:gridCol w:w="2919"/>
      </w:tblGrid>
      <w:tr>
        <w:tc>
          <w:tcPr>
            <w:tcW w:w="3403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899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3077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3237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919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</w:tr>
      <w:tr>
        <w:tc>
          <w:tcPr>
            <w:tcW w:w="12616" w:type="dxa"/>
            <w:gridSpan w:val="4"/>
          </w:tcPr>
          <w:p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FICTION: Stories from a significant author</w:t>
            </w:r>
          </w:p>
          <w:p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Outcomes: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 read and enjoy stories by the same author (ensure children have read 2 others earlier in the year in shared novel time) or by a significant author</w:t>
            </w: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make connections and links with other stories by the same author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understand who the author is and to identify the main themes of his work in simple terms (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, war, animals, humour)</w:t>
            </w:r>
          </w:p>
          <w:p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make predictions about dilemmas, cliff-hangers, character motivations, red herrings and ending</w:t>
            </w:r>
          </w:p>
          <w:p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develop their skills of argument and discussion</w:t>
            </w:r>
          </w:p>
          <w:p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be able to give justification for their ideas using evidence</w:t>
            </w:r>
          </w:p>
          <w:p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create a written or drawn representation of the story that can be used as an aide memoire</w:t>
            </w:r>
          </w:p>
          <w:p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compare and contrast the openings of stories by the same author and write their own openings using different ideas.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re-write a significant chapter or missing scene using dialogue of their own.</w:t>
            </w:r>
          </w:p>
          <w:p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develop their awareness of the narrative voice in a text </w:t>
            </w:r>
          </w:p>
          <w:p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identify the dilemma faced by the main characters </w:t>
            </w:r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consider how author has developed character and setting</w:t>
            </w:r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discuss meaning of unfamiliar or contextual words – </w:t>
            </w:r>
            <w:proofErr w:type="spellStart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eg</w:t>
            </w:r>
            <w:proofErr w:type="spellEnd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 horseless carriage, lantern, air-raid</w:t>
            </w:r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</w:t>
            </w:r>
            <w:proofErr w:type="spellStart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iscuss</w:t>
            </w:r>
            <w:proofErr w:type="spellEnd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 and evaluate how authors use language – including figurative – and consider impact</w:t>
            </w:r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identify and discuss themes and conventions in the genre</w:t>
            </w:r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draw inferences from characters’ feelings, thoughts and motives</w:t>
            </w:r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draw and annotate an ‘emotions journey’ to plot how a character </w:t>
            </w:r>
            <w:proofErr w:type="gramStart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changes</w:t>
            </w:r>
            <w:proofErr w:type="gramEnd"/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write a letter, recount or interview as the main character</w:t>
            </w:r>
          </w:p>
          <w:p>
            <w:pPr>
              <w:rPr>
                <w:rFonts w:ascii="Comic Sans MS" w:hAnsi="Comic Sans MS"/>
                <w:b/>
                <w:color w:val="FF0000"/>
              </w:rPr>
            </w:pPr>
          </w:p>
          <w:p>
            <w:pPr>
              <w:rPr>
                <w:rFonts w:ascii="Comic Sans MS" w:hAnsi="Comic Sans MS"/>
                <w:b/>
              </w:rPr>
            </w:pPr>
          </w:p>
        </w:tc>
        <w:tc>
          <w:tcPr>
            <w:tcW w:w="2919" w:type="dxa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POETRY – Language Play/Nonsense Poetry</w:t>
            </w: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Outcomes: </w:t>
            </w:r>
          </w:p>
          <w:p>
            <w:pPr>
              <w:jc w:val="both"/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 read and write nonsense poems which play with language. </w:t>
            </w:r>
          </w:p>
          <w:p>
            <w:pPr>
              <w:ind w:left="-360"/>
              <w:jc w:val="both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develop understanding of patterned language</w:t>
            </w:r>
          </w:p>
          <w:p>
            <w:pPr>
              <w:ind w:left="-360"/>
              <w:jc w:val="both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count and use syllables</w:t>
            </w:r>
          </w:p>
          <w:p>
            <w:pPr>
              <w:ind w:left="-360"/>
              <w:jc w:val="both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compare and contrast poems</w:t>
            </w:r>
          </w:p>
          <w:p>
            <w:pPr>
              <w:ind w:left="-360"/>
              <w:jc w:val="both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write own nonsense poem using rhymes and syllables</w:t>
            </w:r>
          </w:p>
          <w:p>
            <w:pPr>
              <w:ind w:left="-360"/>
              <w:jc w:val="both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</w:rPr>
              <w:t>To edit and revise own writing</w:t>
            </w:r>
          </w:p>
          <w:p>
            <w:pPr>
              <w:ind w:left="-84"/>
              <w:rPr>
                <w:rFonts w:ascii="Comic Sans MS" w:hAnsi="Comic Sans MS" w:cs="Arial"/>
              </w:rPr>
            </w:pPr>
          </w:p>
          <w:p>
            <w:pPr>
              <w:rPr>
                <w:rFonts w:ascii="Comic Sans MS" w:hAnsi="Comic Sans MS" w:cs="Arial"/>
              </w:rPr>
            </w:pPr>
          </w:p>
          <w:p>
            <w:pPr>
              <w:rPr>
                <w:rFonts w:ascii="Comic Sans MS" w:hAnsi="Comic Sans MS" w:cs="Arial"/>
                <w:b/>
                <w:i/>
                <w:u w:val="single"/>
              </w:rPr>
            </w:pPr>
          </w:p>
        </w:tc>
      </w:tr>
    </w:tbl>
    <w:p>
      <w:pPr>
        <w:rPr>
          <w:rFonts w:ascii="Comic Sans MS" w:hAnsi="Comic Sans MS"/>
          <w:b/>
        </w:rPr>
      </w:pPr>
    </w:p>
    <w:p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SPRING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2562"/>
        <w:gridCol w:w="2095"/>
        <w:gridCol w:w="3012"/>
        <w:gridCol w:w="2580"/>
        <w:gridCol w:w="2567"/>
      </w:tblGrid>
      <w:tr>
        <w:tc>
          <w:tcPr>
            <w:tcW w:w="2628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619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141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3084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611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611" w:type="dxa"/>
            <w:shd w:val="clear" w:color="auto" w:fill="FFFF00"/>
          </w:tcPr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</w:tr>
      <w:tr>
        <w:tc>
          <w:tcPr>
            <w:tcW w:w="10472" w:type="dxa"/>
            <w:gridSpan w:val="4"/>
            <w:shd w:val="clear" w:color="auto" w:fill="FFFFFF" w:themeFill="background1"/>
          </w:tcPr>
          <w:p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FICTION – dilemma / Fable (other culture)</w:t>
            </w:r>
          </w:p>
          <w:p>
            <w:pPr>
              <w:pStyle w:val="ListParagraph"/>
              <w:ind w:left="360"/>
              <w:rPr>
                <w:rFonts w:ascii="Comic Sans MS" w:hAnsi="Comic Sans MS"/>
                <w:b/>
              </w:rPr>
            </w:pPr>
          </w:p>
          <w:p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Outcomes: To write a story with a dilemma and moral (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eg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Anansi, fables etc)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become familiar with cultural facts and vocabulary necessary to understand the story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make connections and links with other stories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identify the dilemma in a story and predict a resolution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identify the moral of a story and write their own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consider how a character’s actions affect the plot 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use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hotseating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to explore motivations, feelings and actions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compare a variety of forms of questions from texts, e.g. asking for help, asking the time, asking someone to be quiet.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turn statements into questions, learning a range of “</w:t>
            </w:r>
            <w:proofErr w:type="spellStart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wh</w:t>
            </w:r>
            <w:proofErr w:type="spellEnd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” words, typically used to open questions: what, where, when, who, and to add question marks.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secure knowledge of question marks and exclamation marks in reading, understand their purpose and use appropriately in own writing</w:t>
            </w:r>
          </w:p>
          <w:p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introduce the terms build-up, dilemma, resolution</w:t>
            </w: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plan a story using build-up, dilemma, resolution, moral using story mountain or boxing up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revise fronted adverbials and other sentence starters and identify how they affect the sentence.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use a range of conjunctions to link clauses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develop their ability to experiment with words to create powerful images and settings 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become familiar, explore and use higher level vocabulary in writing</w:t>
            </w:r>
          </w:p>
          <w:p>
            <w:pPr>
              <w:pStyle w:val="ListParagraph"/>
              <w:numPr>
                <w:ilvl w:val="0"/>
                <w:numId w:val="15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revise the use of noun phrases</w:t>
            </w: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rPr>
                <w:rFonts w:ascii="Comic Sans MS" w:hAnsi="Comic Sans MS"/>
                <w:b/>
              </w:rPr>
            </w:pPr>
          </w:p>
        </w:tc>
        <w:tc>
          <w:tcPr>
            <w:tcW w:w="5222" w:type="dxa"/>
            <w:gridSpan w:val="2"/>
            <w:shd w:val="clear" w:color="auto" w:fill="FFFFFF" w:themeFill="background1"/>
          </w:tcPr>
          <w:p>
            <w:pPr>
              <w:ind w:right="404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NON-FICTION - Instructions</w:t>
            </w:r>
          </w:p>
          <w:p>
            <w:pPr>
              <w:ind w:right="404"/>
              <w:rPr>
                <w:rFonts w:ascii="Comic Sans MS" w:hAnsi="Comic Sans MS"/>
                <w:b/>
              </w:rPr>
            </w:pPr>
          </w:p>
          <w:p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Outcomes: To write an instruction leaflet</w:t>
            </w:r>
          </w:p>
          <w:p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ind w:right="404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</w:rPr>
              <w:t>To understand verbs in 1st, 2nd, and 3rd person, e.g. I/we do, you do, he/she does, they do; discussing the purposes for which each can be used; relating to different types of text, e.g. 1st person diaries / letters, 2nd person instructions, 3rd person for narrative, recounts</w:t>
            </w:r>
          </w:p>
          <w:p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ind w:right="404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experimenting with transforming sentences and noting which words need to be changed</w:t>
            </w:r>
          </w:p>
          <w:p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</w:rPr>
              <w:t>To use connectives in paragraphs (later, after, in addition etc)</w:t>
            </w:r>
          </w:p>
          <w:p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organise information chronologically</w:t>
            </w:r>
          </w:p>
          <w:p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revise writing an introduction and conclusion using who, what, where and when</w:t>
            </w:r>
          </w:p>
          <w:p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To use </w:t>
            </w: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presentational features such as bullet points, diagrams, </w:t>
            </w:r>
            <w:proofErr w:type="spellStart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colour</w:t>
            </w:r>
            <w:proofErr w:type="spellEnd"/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 or numbering</w:t>
            </w:r>
          </w:p>
          <w:p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lastRenderedPageBreak/>
              <w:t>To adapt writing for different readers, e.g. simplifying for younger readers</w:t>
            </w:r>
          </w:p>
          <w:p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identify the imperative form in instructional writing and use</w:t>
            </w:r>
          </w:p>
          <w:p>
            <w:pPr>
              <w:pStyle w:val="ListParagraph"/>
              <w:ind w:left="360" w:right="404"/>
              <w:rPr>
                <w:rFonts w:ascii="Comic Sans MS" w:hAnsi="Comic Sans MS"/>
                <w:b/>
              </w:rPr>
            </w:pPr>
          </w:p>
        </w:tc>
      </w:tr>
    </w:tbl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</w:p>
    <w:p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SUMMER 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3"/>
        <w:gridCol w:w="2182"/>
        <w:gridCol w:w="2182"/>
        <w:gridCol w:w="4121"/>
        <w:gridCol w:w="351"/>
        <w:gridCol w:w="2185"/>
        <w:gridCol w:w="2184"/>
      </w:tblGrid>
      <w:tr>
        <w:tc>
          <w:tcPr>
            <w:tcW w:w="2198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198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198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4155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42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198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199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</w:tr>
      <w:tr>
        <w:tc>
          <w:tcPr>
            <w:tcW w:w="10749" w:type="dxa"/>
            <w:gridSpan w:val="4"/>
          </w:tcPr>
          <w:p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FICTION – Imaginary Worlds - Myths and Mythical Characters</w:t>
            </w:r>
          </w:p>
          <w:p>
            <w:pPr>
              <w:ind w:right="404"/>
              <w:rPr>
                <w:rFonts w:ascii="Comic Sans MS" w:hAnsi="Comic Sans MS"/>
                <w:b/>
              </w:rPr>
            </w:pPr>
          </w:p>
          <w:p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Outcome: 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b/>
                <w:sz w:val="24"/>
                <w:szCs w:val="24"/>
                <w:lang w:val="en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 w</w:t>
            </w:r>
            <w:r>
              <w:rPr>
                <w:rFonts w:ascii="Comic Sans MS" w:hAnsi="Comic Sans MS" w:cs="Arial"/>
                <w:b/>
                <w:sz w:val="24"/>
                <w:szCs w:val="24"/>
                <w:lang w:val="en"/>
              </w:rPr>
              <w:t xml:space="preserve">rite a complete quest myth </w:t>
            </w:r>
            <w:proofErr w:type="spellStart"/>
            <w:r>
              <w:rPr>
                <w:rFonts w:ascii="Comic Sans MS" w:hAnsi="Comic Sans MS" w:cs="Arial"/>
                <w:b/>
                <w:sz w:val="24"/>
                <w:szCs w:val="24"/>
                <w:lang w:val="en"/>
              </w:rPr>
              <w:t>organised</w:t>
            </w:r>
            <w:proofErr w:type="spellEnd"/>
            <w:r>
              <w:rPr>
                <w:rFonts w:ascii="Comic Sans MS" w:hAnsi="Comic Sans MS" w:cs="Arial"/>
                <w:b/>
                <w:sz w:val="24"/>
                <w:szCs w:val="24"/>
                <w:lang w:val="en"/>
              </w:rPr>
              <w:t xml:space="preserve"> into a clear sequence of events.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To understand the basic conventions of speech punctuation through: identifying speech marks in reading; beginning to use speech marks in own writing; using capital letters to mark the start of direct speech; to use the term “speech marks”; beginning to use speech marks and other dialogue punctuation appropriately in writing and to use the conventions which mark boundaries between spoken words and the rest of the sentence.</w:t>
            </w: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explore, read and enjoy a range of myths and compare and contrast.</w:t>
            </w:r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continue to use a range of conjunctions to link clauses</w:t>
            </w:r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revise using fronted adverbials</w:t>
            </w:r>
          </w:p>
          <w:p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begin to add some features of tension</w:t>
            </w: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explore the main features of a myth – gods, magic, heroes, quest etc</w:t>
            </w: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plan and ‘box up’ a myth using features and skills learnt</w:t>
            </w: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write a myth with a build-up, dilemma,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resoultion</w:t>
            </w:r>
            <w:proofErr w:type="spellEnd"/>
          </w:p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understand the main points of a story in terms of the above and summarise them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To edit and revise own writing</w:t>
            </w:r>
          </w:p>
          <w:p>
            <w:pPr>
              <w:pStyle w:val="ListParagraph"/>
              <w:numPr>
                <w:ilvl w:val="0"/>
                <w:numId w:val="18"/>
              </w:numPr>
              <w:ind w:right="404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t xml:space="preserve">To evaluate their own and their partner’s work against specific criteria and then discuss how they could improve their work </w:t>
            </w:r>
          </w:p>
          <w:p>
            <w:pPr>
              <w:rPr>
                <w:rFonts w:ascii="Comic Sans MS" w:hAnsi="Comic Sans MS"/>
                <w:color w:val="FF0000"/>
              </w:rPr>
            </w:pP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39" w:type="dxa"/>
            <w:gridSpan w:val="3"/>
          </w:tcPr>
          <w:p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NON-FICTION – Letter Writing</w:t>
            </w: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Outcome: </w:t>
            </w:r>
          </w:p>
          <w:p>
            <w:pPr>
              <w:pStyle w:val="ListParagraph"/>
              <w:ind w:left="0"/>
              <w:rPr>
                <w:rFonts w:ascii="Comic Sans MS" w:hAnsi="Comic Sans MS" w:cs="Arial"/>
                <w:b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lang w:val="en"/>
              </w:rPr>
              <w:t xml:space="preserve">To write two letters for different purposes and audiences 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read and enjoy a range of letters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discuss different audiences – formal and informal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identify features and phrases of a letter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Identify the audience for letters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To edit and revise own writing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use the term “verb” appropriately and to understand the function of verbs in sentences through: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Noticing that sentences cannot make sense without them</w:t>
            </w:r>
          </w:p>
          <w:p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Collecting and classifying examples of verbs from own reading and own knowledge e.g. run, chase, sprint; eat, consume, gobble</w:t>
            </w:r>
          </w:p>
          <w:p>
            <w:pPr>
              <w:ind w:left="360"/>
              <w:rPr>
                <w:rFonts w:ascii="Comic Sans MS" w:hAnsi="Comic Sans MS" w:cs="Arial"/>
              </w:rPr>
            </w:pPr>
          </w:p>
          <w:p>
            <w:pPr>
              <w:rPr>
                <w:rFonts w:ascii="Comic Sans MS" w:hAnsi="Comic Sans MS"/>
                <w:b/>
              </w:rPr>
            </w:pPr>
          </w:p>
        </w:tc>
      </w:tr>
    </w:tbl>
    <w:p>
      <w:pPr>
        <w:rPr>
          <w:rFonts w:ascii="Comic Sans MS" w:hAnsi="Comic Sans MS"/>
          <w:b/>
        </w:rPr>
      </w:pPr>
    </w:p>
    <w:p>
      <w:pPr>
        <w:rPr>
          <w:rFonts w:ascii="Comic Sans MS" w:hAnsi="Comic Sans MS"/>
          <w:b/>
        </w:rPr>
      </w:pPr>
    </w:p>
    <w:p>
      <w:pPr>
        <w:rPr>
          <w:rFonts w:ascii="Comic Sans MS" w:hAnsi="Comic Sans MS"/>
          <w:b/>
        </w:rPr>
      </w:pPr>
    </w:p>
    <w:p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SUMMER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1"/>
        <w:gridCol w:w="2559"/>
        <w:gridCol w:w="2557"/>
        <w:gridCol w:w="2556"/>
        <w:gridCol w:w="2584"/>
        <w:gridCol w:w="2571"/>
      </w:tblGrid>
      <w:tr>
        <w:tc>
          <w:tcPr>
            <w:tcW w:w="2653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653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653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653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654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654" w:type="dxa"/>
            <w:shd w:val="clear" w:color="auto" w:fill="FFFF00"/>
          </w:tcPr>
          <w:p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</w:tr>
      <w:tr>
        <w:tc>
          <w:tcPr>
            <w:tcW w:w="10612" w:type="dxa"/>
            <w:gridSpan w:val="4"/>
          </w:tcPr>
          <w:p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FICTION – Adventure Stories</w:t>
            </w: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Outcomes: 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To w</w:t>
            </w:r>
            <w:r>
              <w:rPr>
                <w:rFonts w:ascii="Comic Sans MS" w:hAnsi="Comic Sans MS" w:cs="Arial"/>
                <w:b/>
                <w:sz w:val="24"/>
                <w:szCs w:val="24"/>
                <w:lang w:val="en"/>
              </w:rPr>
              <w:t xml:space="preserve">rite </w:t>
            </w:r>
            <w:r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an adventure story that has a problem and resolution</w:t>
            </w: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 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use written dialogue that moves the plot on or highlights character. 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understand the basic conventions of speech punctuation through: identifying speech marks in reading; beginning to use speech marks in own writing; using capital letters to mark the start of direct speech; to use the term “speech marks”; beginning to use speech marks and other dialogue punctuation appropriately in writing and to use the conventions which mark boundaries between spoken words and the rest of the sentence.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 xml:space="preserve">To revise use of build-up, dilemma, 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resoulution</w:t>
            </w:r>
            <w:proofErr w:type="spellEnd"/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 xml:space="preserve">To use fronted adverbials in paragraphs to move the plot on (later that day, suddenly, as night emerged 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etc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)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read and enjoy adventure stories and make links between other stories they know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identify the dilemma in a story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consider how a character’s actions affect the plot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To continue to use a range of conjunctions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 xml:space="preserve">To 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>practise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  <w:lang w:val="en"/>
              </w:rPr>
              <w:t xml:space="preserve"> and arrange information into paragraphs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 xml:space="preserve">To </w:t>
            </w:r>
            <w:proofErr w:type="spellStart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recognise</w:t>
            </w:r>
            <w:proofErr w:type="spellEnd"/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 xml:space="preserve"> how commas, connectives and full stops are used to join and separate clauses. To identify in their writing where each is more effective</w:t>
            </w:r>
          </w:p>
          <w:p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edit and revise own writing</w:t>
            </w:r>
          </w:p>
          <w:p>
            <w:pPr>
              <w:ind w:right="404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t xml:space="preserve">To evaluate their own and their partner’s work against specific criteria and then discuss how they could improve their work </w:t>
            </w: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rPr>
                <w:rFonts w:ascii="Comic Sans MS" w:hAnsi="Comic Sans MS"/>
                <w:b/>
              </w:rPr>
            </w:pPr>
          </w:p>
          <w:p>
            <w:pPr>
              <w:rPr>
                <w:rFonts w:ascii="Comic Sans MS" w:hAnsi="Comic Sans MS" w:cs="Arial"/>
              </w:rPr>
            </w:pPr>
          </w:p>
          <w:p>
            <w:pPr>
              <w:pStyle w:val="ListParagraph"/>
              <w:rPr>
                <w:rFonts w:ascii="Comic Sans MS" w:hAnsi="Comic Sans MS"/>
                <w:b/>
              </w:rPr>
            </w:pPr>
          </w:p>
        </w:tc>
        <w:tc>
          <w:tcPr>
            <w:tcW w:w="5308" w:type="dxa"/>
            <w:gridSpan w:val="2"/>
          </w:tcPr>
          <w:p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– To write / perform a persuasive advert or letter</w:t>
            </w:r>
          </w:p>
          <w:p>
            <w:pPr>
              <w:ind w:right="404"/>
              <w:rPr>
                <w:rFonts w:ascii="Comic Sans MS" w:hAnsi="Comic Sans MS"/>
                <w:b/>
              </w:rPr>
            </w:pPr>
          </w:p>
          <w:p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Outcomes: To write a persuasive text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read and watch a number of persuasive texts / videos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become familiar with some of the key features of persuasive media 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gain an awareness of persuasive language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watch a video, trailer or advert critically and identify features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plan the message of their video or advert using a storyboard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critically assess each other’s videos and respond positively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identify emotive language and use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edit and revise own writing</w:t>
            </w:r>
          </w:p>
          <w:p>
            <w:pPr>
              <w:pStyle w:val="ListParagraph"/>
              <w:numPr>
                <w:ilvl w:val="0"/>
                <w:numId w:val="16"/>
              </w:numPr>
              <w:ind w:right="404"/>
              <w:rPr>
                <w:rFonts w:ascii="Comic Sans MS" w:hAnsi="Comic Sans MS"/>
                <w:b/>
              </w:rPr>
            </w:pPr>
          </w:p>
        </w:tc>
      </w:tr>
    </w:tbl>
    <w:p>
      <w:pPr>
        <w:rPr>
          <w:rFonts w:ascii="SassoonCRInfant" w:hAnsi="SassoonCRInfant"/>
          <w:b/>
          <w:sz w:val="24"/>
          <w:szCs w:val="24"/>
          <w:u w:val="single"/>
        </w:rPr>
      </w:pPr>
    </w:p>
    <w:sectPr>
      <w:pgSz w:w="16838" w:h="11906" w:orient="landscape"/>
      <w:pgMar w:top="720" w:right="720" w:bottom="720" w:left="720" w:header="708" w:footer="708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E6D53"/>
    <w:multiLevelType w:val="hybridMultilevel"/>
    <w:tmpl w:val="32FA0E42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785006"/>
    <w:multiLevelType w:val="hybridMultilevel"/>
    <w:tmpl w:val="5FF83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57610"/>
    <w:multiLevelType w:val="hybridMultilevel"/>
    <w:tmpl w:val="ACB8A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B3F81"/>
    <w:multiLevelType w:val="hybridMultilevel"/>
    <w:tmpl w:val="72D82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B419D"/>
    <w:multiLevelType w:val="hybridMultilevel"/>
    <w:tmpl w:val="6756A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A020F"/>
    <w:multiLevelType w:val="hybridMultilevel"/>
    <w:tmpl w:val="2F149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F61A76"/>
    <w:multiLevelType w:val="hybridMultilevel"/>
    <w:tmpl w:val="F0F6C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7000E"/>
    <w:multiLevelType w:val="hybridMultilevel"/>
    <w:tmpl w:val="A5461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15EE4"/>
    <w:multiLevelType w:val="hybridMultilevel"/>
    <w:tmpl w:val="085ADA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13124"/>
    <w:multiLevelType w:val="hybridMultilevel"/>
    <w:tmpl w:val="8F0C2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A23A5"/>
    <w:multiLevelType w:val="hybridMultilevel"/>
    <w:tmpl w:val="E2346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FA22F2"/>
    <w:multiLevelType w:val="hybridMultilevel"/>
    <w:tmpl w:val="BF76A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209E6"/>
    <w:multiLevelType w:val="hybridMultilevel"/>
    <w:tmpl w:val="CD941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C53530"/>
    <w:multiLevelType w:val="hybridMultilevel"/>
    <w:tmpl w:val="3C1C6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245D97"/>
    <w:multiLevelType w:val="hybridMultilevel"/>
    <w:tmpl w:val="F8BCC8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D41229"/>
    <w:multiLevelType w:val="hybridMultilevel"/>
    <w:tmpl w:val="02480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C7164E"/>
    <w:multiLevelType w:val="hybridMultilevel"/>
    <w:tmpl w:val="33883472"/>
    <w:lvl w:ilvl="0" w:tplc="08090001">
      <w:start w:val="1"/>
      <w:numFmt w:val="bullet"/>
      <w:lvlText w:val=""/>
      <w:lvlJc w:val="left"/>
      <w:pPr>
        <w:ind w:left="14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17" w15:restartNumberingAfterBreak="0">
    <w:nsid w:val="778B5D8C"/>
    <w:multiLevelType w:val="hybridMultilevel"/>
    <w:tmpl w:val="E946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CD6DAC"/>
    <w:multiLevelType w:val="hybridMultilevel"/>
    <w:tmpl w:val="5404A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3"/>
  </w:num>
  <w:num w:numId="4">
    <w:abstractNumId w:val="9"/>
  </w:num>
  <w:num w:numId="5">
    <w:abstractNumId w:val="12"/>
  </w:num>
  <w:num w:numId="6">
    <w:abstractNumId w:val="5"/>
  </w:num>
  <w:num w:numId="7">
    <w:abstractNumId w:val="16"/>
  </w:num>
  <w:num w:numId="8">
    <w:abstractNumId w:val="11"/>
  </w:num>
  <w:num w:numId="9">
    <w:abstractNumId w:val="1"/>
  </w:num>
  <w:num w:numId="10">
    <w:abstractNumId w:val="2"/>
  </w:num>
  <w:num w:numId="11">
    <w:abstractNumId w:val="10"/>
  </w:num>
  <w:num w:numId="12">
    <w:abstractNumId w:val="4"/>
  </w:num>
  <w:num w:numId="13">
    <w:abstractNumId w:val="17"/>
  </w:num>
  <w:num w:numId="14">
    <w:abstractNumId w:val="18"/>
  </w:num>
  <w:num w:numId="15">
    <w:abstractNumId w:val="8"/>
  </w:num>
  <w:num w:numId="16">
    <w:abstractNumId w:val="0"/>
  </w:num>
  <w:num w:numId="17">
    <w:abstractNumId w:val="14"/>
  </w:num>
  <w:num w:numId="18">
    <w:abstractNumId w:val="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8B95BB-B531-407E-9D10-9FB4B18F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AC456A47C52A4EAE2337BF626CD21B" ma:contentTypeVersion="10" ma:contentTypeDescription="Create a new document." ma:contentTypeScope="" ma:versionID="d3ef49c8b7e55ae0c40006733935793f">
  <xsd:schema xmlns:xsd="http://www.w3.org/2001/XMLSchema" xmlns:xs="http://www.w3.org/2001/XMLSchema" xmlns:p="http://schemas.microsoft.com/office/2006/metadata/properties" xmlns:ns3="6879a745-da53-4fa3-9b89-44d7ae791c7d" targetNamespace="http://schemas.microsoft.com/office/2006/metadata/properties" ma:root="true" ma:fieldsID="fb1e5811aab8edbe91e9c404de38bd31" ns3:_="">
    <xsd:import namespace="6879a745-da53-4fa3-9b89-44d7ae791c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9a745-da53-4fa3-9b89-44d7ae791c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04AC2A-97EE-4ADC-8473-FD5380DA0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79a745-da53-4fa3-9b89-44d7ae791c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0BE9FC-8746-4F61-98F9-332B6EAF94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F19511-C513-4B62-8F18-AE09EEF43770}">
  <ds:schemaRefs>
    <ds:schemaRef ds:uri="http://schemas.microsoft.com/office/2006/metadata/properties"/>
    <ds:schemaRef ds:uri="6879a745-da53-4fa3-9b89-44d7ae791c7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Lucas</dc:creator>
  <cp:lastModifiedBy>Matt Grady</cp:lastModifiedBy>
  <cp:revision>2</cp:revision>
  <cp:lastPrinted>2018-07-20T07:37:00Z</cp:lastPrinted>
  <dcterms:created xsi:type="dcterms:W3CDTF">2024-12-16T13:17:00Z</dcterms:created>
  <dcterms:modified xsi:type="dcterms:W3CDTF">2024-12-16T13:17:00Z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0x0101001FAC456A47C52A4EAE2337BF626CD21B</vt:lpwstr>
  </property>
</Properties>
</file>